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ilpd47xghxl5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Bellevue Invitational Drill Meet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z8ufmtrk4x49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REGULATION COLOR GUARD</w:t>
      </w:r>
    </w:p>
    <w:p w:rsidR="00000000" w:rsidDel="00000000" w:rsidP="00000000" w:rsidRDefault="00000000" w:rsidRPr="00000000">
      <w:pPr>
        <w:ind w:firstLine="720"/>
        <w:contextualSpacing w:val="0"/>
      </w:pPr>
      <w:bookmarkStart w:colFirst="0" w:colLast="0" w:name="_gjdgxs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SEQUENCE</w:t>
        <w:tab/>
        <w:tab/>
        <w:tab/>
        <w:tab/>
        <w:tab/>
        <w:t xml:space="preserve">GENERAL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1440"/>
        <w:gridCol w:w="3570"/>
        <w:gridCol w:w="1770"/>
        <w:tblGridChange w:id="0">
          <w:tblGrid>
            <w:gridCol w:w="3345"/>
            <w:gridCol w:w="1440"/>
            <w:gridCol w:w="3570"/>
            <w:gridCol w:w="1770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WORTH 10 POINTS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DEDUCT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ITEM WORTH 10 POINTS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DEDUCT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UNCASE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IMPRESSION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SLING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CADENCE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POST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SNAP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UNCASE THE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 SWING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PRESENT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&amp; EYES UP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ORDER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MOVEMENT CORRECTNESS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POST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IMPRESSION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MOVE ONTO LINE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FLOURISHES/ EXTRA MOVEMENTS/ EXHIBITION DRILL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BEARING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BEARING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ORDER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OF SQUAD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PARADE REST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COMPOSURE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 CLARITY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COLORS ATTENTION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VOICE/VOLUME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CARRY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POSSIBLE                  130</w:t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/>
          </w:tcPr>
          <w:p w:rsidR="00000000" w:rsidDel="00000000" w:rsidP="00000000" w:rsidRDefault="00000000" w:rsidRPr="00000000">
            <w:pPr>
              <w:tabs>
                <w:tab w:val="left" w:pos="4320"/>
                <w:tab w:val="left" w:pos="855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School/Team: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4410"/>
                <w:tab w:val="left" w:pos="7740"/>
                <w:tab w:val="left" w:pos="810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Team Code: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837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Sched Performance Time: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Commanders Name: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495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Judge: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COLORS SAULTE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CARRY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COLORS REVERSE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COLORS REVERSE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PASS IN REVIEW</w:t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RIGHT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 COLORS</w:t>
            </w:r>
          </w:p>
        </w:tc>
        <w:tc>
          <w:tcPr>
            <w:gridSpan w:val="2"/>
            <w:vMerge w:val="continue"/>
            <w:shd w:fill="bfbfb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 EYES RIGHT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 READY FRONT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POSSIBLE                     310</w:t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Improvement Areas/Remarks/Suggestions: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